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87" w:rsidRDefault="00100887" w:rsidP="00100887">
      <w:pPr>
        <w:bidi w:val="0"/>
        <w:spacing w:after="0" w:line="240" w:lineRule="auto"/>
        <w:jc w:val="right"/>
        <w:outlineLvl w:val="0"/>
        <w:rPr>
          <w:rFonts w:ascii="Arial" w:eastAsia="Times New Roman" w:hAnsi="Arial" w:cs="Arial"/>
          <w:color w:val="000000"/>
          <w:kern w:val="36"/>
          <w:sz w:val="43"/>
          <w:szCs w:val="43"/>
          <w:rtl/>
        </w:rPr>
      </w:pPr>
      <w:r w:rsidRPr="00100887">
        <w:rPr>
          <w:rFonts w:ascii="Arial" w:eastAsia="Times New Roman" w:hAnsi="Arial" w:cs="Arial"/>
          <w:color w:val="000000"/>
          <w:kern w:val="36"/>
          <w:sz w:val="43"/>
          <w:szCs w:val="43"/>
          <w:rtl/>
        </w:rPr>
        <w:t>חוק הדרכים (שילוט)</w:t>
      </w:r>
    </w:p>
    <w:p w:rsidR="00100887" w:rsidRPr="00100887" w:rsidRDefault="00100887" w:rsidP="00100887">
      <w:pPr>
        <w:bidi w:val="0"/>
        <w:spacing w:after="0" w:line="240" w:lineRule="auto"/>
        <w:jc w:val="right"/>
        <w:outlineLvl w:val="0"/>
        <w:rPr>
          <w:rFonts w:ascii="Arial" w:eastAsia="Times New Roman" w:hAnsi="Arial" w:cs="Arial"/>
          <w:color w:val="000000"/>
          <w:kern w:val="36"/>
          <w:sz w:val="43"/>
          <w:szCs w:val="43"/>
        </w:rPr>
      </w:pPr>
    </w:p>
    <w:tbl>
      <w:tblPr>
        <w:bidiVisual/>
        <w:tblW w:w="5280"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2003"/>
        <w:gridCol w:w="3277"/>
      </w:tblGrid>
      <w:tr w:rsidR="00100887" w:rsidRPr="00100887" w:rsidTr="00100887">
        <w:trPr>
          <w:tblCellSpacing w:w="15" w:type="dxa"/>
        </w:trPr>
        <w:tc>
          <w:tcPr>
            <w:tcW w:w="0" w:type="auto"/>
            <w:gridSpan w:val="2"/>
            <w:tcBorders>
              <w:top w:val="nil"/>
              <w:left w:val="nil"/>
              <w:bottom w:val="nil"/>
              <w:right w:val="nil"/>
            </w:tcBorders>
            <w:shd w:val="clear" w:color="auto" w:fill="F9F9F9"/>
            <w:vAlign w:val="center"/>
            <w:hideMark/>
          </w:tcPr>
          <w:p w:rsidR="00100887" w:rsidRPr="00100887" w:rsidRDefault="00100887" w:rsidP="00100887">
            <w:pPr>
              <w:pBdr>
                <w:top w:val="single" w:sz="6" w:space="0" w:color="AAAAAA"/>
                <w:left w:val="single" w:sz="6" w:space="0" w:color="AAAAAA"/>
                <w:right w:val="single" w:sz="6" w:space="0" w:color="AAAAAA"/>
              </w:pBdr>
              <w:shd w:val="clear" w:color="auto" w:fill="8B4513"/>
              <w:spacing w:after="120" w:line="336" w:lineRule="atLeast"/>
              <w:rPr>
                <w:rFonts w:ascii="Times New Roman" w:eastAsia="Times New Roman" w:hAnsi="Times New Roman" w:cs="Times New Roman"/>
                <w:b/>
                <w:bCs/>
                <w:color w:val="FFFFFF"/>
                <w:sz w:val="24"/>
                <w:szCs w:val="24"/>
              </w:rPr>
            </w:pPr>
            <w:r w:rsidRPr="00100887">
              <w:rPr>
                <w:rFonts w:ascii="Times New Roman" w:eastAsia="Times New Roman" w:hAnsi="Times New Roman" w:cs="Times New Roman"/>
                <w:b/>
                <w:bCs/>
                <w:color w:val="FFFFFF"/>
                <w:sz w:val="24"/>
                <w:szCs w:val="24"/>
                <w:rtl/>
              </w:rPr>
              <w:t>חוק הדרכים (שילוט)</w:t>
            </w:r>
          </w:p>
        </w:tc>
      </w:tr>
      <w:tr w:rsidR="00100887" w:rsidRPr="00100887" w:rsidTr="00100887">
        <w:trPr>
          <w:tblCellSpacing w:w="15" w:type="dxa"/>
        </w:trPr>
        <w:tc>
          <w:tcPr>
            <w:tcW w:w="0" w:type="auto"/>
            <w:gridSpan w:val="2"/>
            <w:shd w:val="clear" w:color="auto" w:fill="F9F9F9"/>
            <w:hideMark/>
          </w:tcPr>
          <w:p w:rsidR="00100887" w:rsidRPr="00100887" w:rsidRDefault="00100887" w:rsidP="00100887">
            <w:pPr>
              <w:spacing w:after="120" w:line="336" w:lineRule="atLeast"/>
              <w:jc w:val="center"/>
              <w:rPr>
                <w:rFonts w:ascii="Times New Roman" w:eastAsia="Times New Roman" w:hAnsi="Times New Roman" w:cs="Times New Roman"/>
                <w:color w:val="000000"/>
                <w:sz w:val="20"/>
                <w:szCs w:val="20"/>
              </w:rPr>
            </w:pPr>
            <w:r w:rsidRPr="00100887">
              <w:rPr>
                <w:rFonts w:ascii="Times New Roman" w:eastAsia="Times New Roman" w:hAnsi="Times New Roman" w:cs="Times New Roman"/>
                <w:noProof/>
                <w:color w:val="3366CC"/>
                <w:sz w:val="20"/>
                <w:szCs w:val="20"/>
              </w:rPr>
              <w:drawing>
                <wp:inline distT="0" distB="0" distL="0" distR="0">
                  <wp:extent cx="1432560" cy="1775460"/>
                  <wp:effectExtent l="0" t="0" r="0" b="0"/>
                  <wp:docPr id="3" name="תמונה 3" descr="Emblem of Israel.svg">
                    <a:hlinkClick xmlns:a="http://schemas.openxmlformats.org/drawingml/2006/main" r:id="rId5" tooltip="&quot;סמל מדינת ישראל&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of Israel.svg">
                            <a:hlinkClick r:id="rId5" tooltip="&quot;סמל מדינת ישראל&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775460"/>
                          </a:xfrm>
                          <a:prstGeom prst="rect">
                            <a:avLst/>
                          </a:prstGeom>
                          <a:noFill/>
                          <a:ln>
                            <a:noFill/>
                          </a:ln>
                        </pic:spPr>
                      </pic:pic>
                    </a:graphicData>
                  </a:graphic>
                </wp:inline>
              </w:drawing>
            </w:r>
          </w:p>
        </w:tc>
      </w:tr>
      <w:tr w:rsidR="00100887" w:rsidRPr="00100887" w:rsidTr="00100887">
        <w:trPr>
          <w:tblCellSpacing w:w="15" w:type="dxa"/>
        </w:trPr>
        <w:tc>
          <w:tcPr>
            <w:tcW w:w="0" w:type="auto"/>
            <w:gridSpan w:val="2"/>
            <w:shd w:val="clear" w:color="auto" w:fill="8B4513"/>
            <w:hideMark/>
          </w:tcPr>
          <w:p w:rsidR="00100887" w:rsidRPr="00100887" w:rsidRDefault="00100887" w:rsidP="00100887">
            <w:pPr>
              <w:spacing w:after="120" w:line="336" w:lineRule="atLeast"/>
              <w:jc w:val="center"/>
              <w:rPr>
                <w:rFonts w:ascii="Times New Roman" w:eastAsia="Times New Roman" w:hAnsi="Times New Roman" w:cs="Times New Roman"/>
                <w:b/>
                <w:bCs/>
                <w:color w:val="FFFFFF"/>
                <w:sz w:val="20"/>
                <w:szCs w:val="20"/>
              </w:rPr>
            </w:pPr>
            <w:r w:rsidRPr="00100887">
              <w:rPr>
                <w:rFonts w:ascii="Times New Roman" w:eastAsia="Times New Roman" w:hAnsi="Times New Roman" w:cs="Times New Roman"/>
                <w:b/>
                <w:bCs/>
                <w:color w:val="FFFFFF"/>
                <w:sz w:val="20"/>
                <w:szCs w:val="20"/>
                <w:rtl/>
              </w:rPr>
              <w:t>פרטי החוק</w:t>
            </w:r>
          </w:p>
        </w:tc>
      </w:tr>
      <w:tr w:rsidR="00100887" w:rsidRPr="00100887" w:rsidTr="00100887">
        <w:trPr>
          <w:tblCellSpacing w:w="15" w:type="dxa"/>
        </w:trPr>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b/>
                <w:bCs/>
                <w:color w:val="000000"/>
                <w:sz w:val="20"/>
                <w:szCs w:val="20"/>
              </w:rPr>
            </w:pPr>
            <w:r w:rsidRPr="00100887">
              <w:rPr>
                <w:rFonts w:ascii="Times New Roman" w:eastAsia="Times New Roman" w:hAnsi="Times New Roman" w:cs="Times New Roman"/>
                <w:b/>
                <w:bCs/>
                <w:color w:val="000000"/>
                <w:sz w:val="20"/>
                <w:szCs w:val="20"/>
                <w:rtl/>
              </w:rPr>
              <w:t>תאריך חקיקה</w:t>
            </w:r>
          </w:p>
        </w:tc>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color w:val="000000"/>
                <w:sz w:val="20"/>
                <w:szCs w:val="20"/>
              </w:rPr>
            </w:pPr>
            <w:hyperlink r:id="rId7" w:tooltip="9 בפברואר" w:history="1">
              <w:r w:rsidRPr="00100887">
                <w:rPr>
                  <w:rFonts w:ascii="Times New Roman" w:eastAsia="Times New Roman" w:hAnsi="Times New Roman" w:cs="Times New Roman"/>
                  <w:color w:val="3366CC"/>
                  <w:sz w:val="20"/>
                  <w:szCs w:val="20"/>
                </w:rPr>
                <w:t xml:space="preserve">9 </w:t>
              </w:r>
              <w:r w:rsidRPr="00100887">
                <w:rPr>
                  <w:rFonts w:ascii="Times New Roman" w:eastAsia="Times New Roman" w:hAnsi="Times New Roman" w:cs="Times New Roman"/>
                  <w:color w:val="3366CC"/>
                  <w:sz w:val="20"/>
                  <w:szCs w:val="20"/>
                  <w:rtl/>
                </w:rPr>
                <w:t>בפברואר</w:t>
              </w:r>
            </w:hyperlink>
            <w:r w:rsidRPr="00100887">
              <w:rPr>
                <w:rFonts w:ascii="Times New Roman" w:eastAsia="Times New Roman" w:hAnsi="Times New Roman" w:cs="Times New Roman"/>
                <w:color w:val="000000"/>
                <w:sz w:val="20"/>
                <w:szCs w:val="20"/>
              </w:rPr>
              <w:t> </w:t>
            </w:r>
            <w:hyperlink r:id="rId8" w:tooltip="1966" w:history="1">
              <w:r w:rsidRPr="00100887">
                <w:rPr>
                  <w:rFonts w:ascii="Times New Roman" w:eastAsia="Times New Roman" w:hAnsi="Times New Roman" w:cs="Times New Roman"/>
                  <w:color w:val="3366CC"/>
                  <w:sz w:val="20"/>
                  <w:szCs w:val="20"/>
                </w:rPr>
                <w:t>1966</w:t>
              </w:r>
            </w:hyperlink>
          </w:p>
        </w:tc>
      </w:tr>
      <w:tr w:rsidR="00100887" w:rsidRPr="00100887" w:rsidTr="00100887">
        <w:trPr>
          <w:tblCellSpacing w:w="15" w:type="dxa"/>
        </w:trPr>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b/>
                <w:bCs/>
                <w:color w:val="000000"/>
                <w:sz w:val="20"/>
                <w:szCs w:val="20"/>
              </w:rPr>
            </w:pPr>
            <w:r w:rsidRPr="00100887">
              <w:rPr>
                <w:rFonts w:ascii="Times New Roman" w:eastAsia="Times New Roman" w:hAnsi="Times New Roman" w:cs="Times New Roman"/>
                <w:b/>
                <w:bCs/>
                <w:color w:val="000000"/>
                <w:sz w:val="20"/>
                <w:szCs w:val="20"/>
                <w:rtl/>
              </w:rPr>
              <w:t>תאריך חקיקה עברי</w:t>
            </w:r>
          </w:p>
        </w:tc>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color w:val="000000"/>
                <w:sz w:val="20"/>
                <w:szCs w:val="20"/>
              </w:rPr>
            </w:pPr>
            <w:hyperlink r:id="rId9" w:tooltip="י&quot;ט בשבט" w:history="1">
              <w:r w:rsidRPr="00100887">
                <w:rPr>
                  <w:rFonts w:ascii="Times New Roman" w:eastAsia="Times New Roman" w:hAnsi="Times New Roman" w:cs="Times New Roman"/>
                  <w:color w:val="3366CC"/>
                  <w:sz w:val="20"/>
                  <w:szCs w:val="20"/>
                  <w:rtl/>
                </w:rPr>
                <w:t>י"ט בשבט</w:t>
              </w:r>
            </w:hyperlink>
            <w:r w:rsidRPr="00100887">
              <w:rPr>
                <w:rFonts w:ascii="Times New Roman" w:eastAsia="Times New Roman" w:hAnsi="Times New Roman" w:cs="Times New Roman"/>
                <w:color w:val="000000"/>
                <w:sz w:val="20"/>
                <w:szCs w:val="20"/>
              </w:rPr>
              <w:t> </w:t>
            </w:r>
            <w:hyperlink r:id="rId10" w:tooltip="תשכ&quot;ו" w:history="1">
              <w:r w:rsidRPr="00100887">
                <w:rPr>
                  <w:rFonts w:ascii="Times New Roman" w:eastAsia="Times New Roman" w:hAnsi="Times New Roman" w:cs="Times New Roman"/>
                  <w:color w:val="3366CC"/>
                  <w:sz w:val="20"/>
                  <w:szCs w:val="20"/>
                  <w:rtl/>
                </w:rPr>
                <w:t>תשכ"ו</w:t>
              </w:r>
            </w:hyperlink>
          </w:p>
        </w:tc>
      </w:tr>
      <w:tr w:rsidR="00100887" w:rsidRPr="00100887" w:rsidTr="00100887">
        <w:trPr>
          <w:tblCellSpacing w:w="15" w:type="dxa"/>
        </w:trPr>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b/>
                <w:bCs/>
                <w:color w:val="000000"/>
                <w:sz w:val="20"/>
                <w:szCs w:val="20"/>
              </w:rPr>
            </w:pPr>
            <w:r w:rsidRPr="00100887">
              <w:rPr>
                <w:rFonts w:ascii="Times New Roman" w:eastAsia="Times New Roman" w:hAnsi="Times New Roman" w:cs="Times New Roman"/>
                <w:b/>
                <w:bCs/>
                <w:color w:val="000000"/>
                <w:sz w:val="20"/>
                <w:szCs w:val="20"/>
                <w:rtl/>
              </w:rPr>
              <w:t>גוף מחוקק</w:t>
            </w:r>
          </w:p>
        </w:tc>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color w:val="000000"/>
                <w:sz w:val="20"/>
                <w:szCs w:val="20"/>
              </w:rPr>
            </w:pPr>
            <w:hyperlink r:id="rId11" w:tooltip="הכנסת השישית" w:history="1">
              <w:r w:rsidRPr="00100887">
                <w:rPr>
                  <w:rFonts w:ascii="Times New Roman" w:eastAsia="Times New Roman" w:hAnsi="Times New Roman" w:cs="Times New Roman"/>
                  <w:color w:val="3366CC"/>
                  <w:sz w:val="20"/>
                  <w:szCs w:val="20"/>
                  <w:rtl/>
                </w:rPr>
                <w:t>הכנסת השישית</w:t>
              </w:r>
            </w:hyperlink>
          </w:p>
        </w:tc>
      </w:tr>
      <w:tr w:rsidR="00100887" w:rsidRPr="00100887" w:rsidTr="00100887">
        <w:trPr>
          <w:tblCellSpacing w:w="15" w:type="dxa"/>
        </w:trPr>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b/>
                <w:bCs/>
                <w:color w:val="000000"/>
                <w:sz w:val="20"/>
                <w:szCs w:val="20"/>
              </w:rPr>
            </w:pPr>
            <w:r w:rsidRPr="00100887">
              <w:rPr>
                <w:rFonts w:ascii="Times New Roman" w:eastAsia="Times New Roman" w:hAnsi="Times New Roman" w:cs="Times New Roman"/>
                <w:b/>
                <w:bCs/>
                <w:color w:val="000000"/>
                <w:sz w:val="20"/>
                <w:szCs w:val="20"/>
                <w:rtl/>
              </w:rPr>
              <w:t>חוברת פרסום</w:t>
            </w:r>
          </w:p>
        </w:tc>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color w:val="000000"/>
                <w:sz w:val="20"/>
                <w:szCs w:val="20"/>
              </w:rPr>
            </w:pPr>
            <w:hyperlink r:id="rId12" w:tooltip="ספר החוקים" w:history="1">
              <w:r w:rsidRPr="00100887">
                <w:rPr>
                  <w:rFonts w:ascii="Times New Roman" w:eastAsia="Times New Roman" w:hAnsi="Times New Roman" w:cs="Times New Roman"/>
                  <w:color w:val="3366CC"/>
                  <w:sz w:val="20"/>
                  <w:szCs w:val="20"/>
                  <w:rtl/>
                </w:rPr>
                <w:t>ספר החוקים</w:t>
              </w:r>
            </w:hyperlink>
            <w:r w:rsidRPr="00100887">
              <w:rPr>
                <w:rFonts w:ascii="Times New Roman" w:eastAsia="Times New Roman" w:hAnsi="Times New Roman" w:cs="Times New Roman"/>
                <w:color w:val="000000"/>
                <w:sz w:val="20"/>
                <w:szCs w:val="20"/>
              </w:rPr>
              <w:t xml:space="preserve"> 470, </w:t>
            </w:r>
            <w:r w:rsidRPr="00100887">
              <w:rPr>
                <w:rFonts w:ascii="Times New Roman" w:eastAsia="Times New Roman" w:hAnsi="Times New Roman" w:cs="Times New Roman"/>
                <w:color w:val="000000"/>
                <w:sz w:val="20"/>
                <w:szCs w:val="20"/>
                <w:rtl/>
              </w:rPr>
              <w:t>עמ' 6</w:t>
            </w:r>
          </w:p>
        </w:tc>
      </w:tr>
      <w:tr w:rsidR="00100887" w:rsidRPr="00100887" w:rsidTr="00100887">
        <w:trPr>
          <w:tblCellSpacing w:w="15" w:type="dxa"/>
        </w:trPr>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b/>
                <w:bCs/>
                <w:color w:val="000000"/>
                <w:sz w:val="20"/>
                <w:szCs w:val="20"/>
              </w:rPr>
            </w:pPr>
            <w:r w:rsidRPr="00100887">
              <w:rPr>
                <w:rFonts w:ascii="Times New Roman" w:eastAsia="Times New Roman" w:hAnsi="Times New Roman" w:cs="Times New Roman"/>
                <w:b/>
                <w:bCs/>
                <w:color w:val="000000"/>
                <w:sz w:val="20"/>
                <w:szCs w:val="20"/>
                <w:rtl/>
              </w:rPr>
              <w:t>הצעת חוק</w:t>
            </w:r>
          </w:p>
        </w:tc>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color w:val="000000"/>
                <w:sz w:val="20"/>
                <w:szCs w:val="20"/>
              </w:rPr>
            </w:pPr>
            <w:r w:rsidRPr="00100887">
              <w:rPr>
                <w:rFonts w:ascii="Times New Roman" w:eastAsia="Times New Roman" w:hAnsi="Times New Roman" w:cs="Times New Roman"/>
                <w:color w:val="000000"/>
                <w:sz w:val="20"/>
                <w:szCs w:val="20"/>
                <w:rtl/>
              </w:rPr>
              <w:t>ממשלתית</w:t>
            </w:r>
          </w:p>
        </w:tc>
      </w:tr>
      <w:tr w:rsidR="00100887" w:rsidRPr="00100887" w:rsidTr="00100887">
        <w:trPr>
          <w:tblCellSpacing w:w="15" w:type="dxa"/>
        </w:trPr>
        <w:tc>
          <w:tcPr>
            <w:tcW w:w="0" w:type="auto"/>
            <w:shd w:val="clear" w:color="auto" w:fill="F9F9F9"/>
            <w:hideMark/>
          </w:tcPr>
          <w:p w:rsidR="00100887" w:rsidRPr="00100887" w:rsidRDefault="00100887" w:rsidP="00100887">
            <w:pPr>
              <w:spacing w:after="120" w:line="336" w:lineRule="atLeast"/>
              <w:rPr>
                <w:rFonts w:ascii="Times New Roman" w:eastAsia="Times New Roman" w:hAnsi="Times New Roman" w:cs="Times New Roman"/>
                <w:b/>
                <w:bCs/>
                <w:color w:val="000000"/>
                <w:sz w:val="20"/>
                <w:szCs w:val="20"/>
              </w:rPr>
            </w:pPr>
            <w:r w:rsidRPr="00100887">
              <w:rPr>
                <w:rFonts w:ascii="Times New Roman" w:eastAsia="Times New Roman" w:hAnsi="Times New Roman" w:cs="Times New Roman"/>
                <w:b/>
                <w:bCs/>
                <w:color w:val="000000"/>
                <w:sz w:val="20"/>
                <w:szCs w:val="20"/>
                <w:rtl/>
              </w:rPr>
              <w:t>משרד ממונה</w:t>
            </w:r>
          </w:p>
        </w:tc>
        <w:tc>
          <w:tcPr>
            <w:tcW w:w="0" w:type="auto"/>
            <w:shd w:val="clear" w:color="auto" w:fill="F9F9F9"/>
            <w:hideMark/>
          </w:tcPr>
          <w:p w:rsidR="00100887" w:rsidRPr="00100887" w:rsidRDefault="00100887" w:rsidP="00100887">
            <w:pPr>
              <w:spacing w:before="120" w:after="120" w:line="336" w:lineRule="atLeast"/>
              <w:rPr>
                <w:rFonts w:ascii="Times New Roman" w:eastAsia="Times New Roman" w:hAnsi="Times New Roman" w:cs="Times New Roman"/>
                <w:color w:val="000000"/>
                <w:sz w:val="20"/>
                <w:szCs w:val="20"/>
              </w:rPr>
            </w:pPr>
            <w:hyperlink r:id="rId13" w:tooltip="משרד התחבורה והבטיחות בדרכים" w:history="1">
              <w:r w:rsidRPr="00100887">
                <w:rPr>
                  <w:rFonts w:ascii="Times New Roman" w:eastAsia="Times New Roman" w:hAnsi="Times New Roman" w:cs="Times New Roman"/>
                  <w:color w:val="3366CC"/>
                  <w:sz w:val="20"/>
                  <w:szCs w:val="20"/>
                  <w:rtl/>
                </w:rPr>
                <w:t>משרד התחבורה והבטיחות בדרכים</w:t>
              </w:r>
            </w:hyperlink>
          </w:p>
          <w:p w:rsidR="00100887" w:rsidRPr="00100887" w:rsidRDefault="00100887" w:rsidP="00100887">
            <w:pPr>
              <w:spacing w:after="0" w:line="336" w:lineRule="atLeast"/>
              <w:rPr>
                <w:rFonts w:ascii="Times New Roman" w:eastAsia="Times New Roman" w:hAnsi="Times New Roman" w:cs="Times New Roman"/>
                <w:color w:val="000000"/>
                <w:sz w:val="20"/>
                <w:szCs w:val="20"/>
              </w:rPr>
            </w:pPr>
            <w:hyperlink r:id="rId14" w:tooltip="המשרד להגנת הסביבה" w:history="1">
              <w:r w:rsidRPr="00100887">
                <w:rPr>
                  <w:rFonts w:ascii="Times New Roman" w:eastAsia="Times New Roman" w:hAnsi="Times New Roman" w:cs="Times New Roman"/>
                  <w:color w:val="3366CC"/>
                  <w:sz w:val="20"/>
                  <w:szCs w:val="20"/>
                  <w:rtl/>
                </w:rPr>
                <w:t>המשרד להגנת הסביבה</w:t>
              </w:r>
            </w:hyperlink>
          </w:p>
        </w:tc>
      </w:tr>
      <w:tr w:rsidR="00100887" w:rsidRPr="00100887" w:rsidTr="00100887">
        <w:trPr>
          <w:tblCellSpacing w:w="15" w:type="dxa"/>
        </w:trPr>
        <w:tc>
          <w:tcPr>
            <w:tcW w:w="0" w:type="auto"/>
            <w:shd w:val="clear" w:color="auto" w:fill="F9F9F9"/>
            <w:hideMark/>
          </w:tcPr>
          <w:p w:rsidR="00100887" w:rsidRPr="00100887" w:rsidRDefault="00100887" w:rsidP="00100887">
            <w:pPr>
              <w:spacing w:after="0" w:line="336" w:lineRule="atLeast"/>
              <w:rPr>
                <w:rFonts w:ascii="Times New Roman" w:eastAsia="Times New Roman" w:hAnsi="Times New Roman" w:cs="Times New Roman"/>
                <w:b/>
                <w:bCs/>
                <w:color w:val="000000"/>
                <w:sz w:val="20"/>
                <w:szCs w:val="20"/>
              </w:rPr>
            </w:pPr>
            <w:r w:rsidRPr="00100887">
              <w:rPr>
                <w:rFonts w:ascii="Times New Roman" w:eastAsia="Times New Roman" w:hAnsi="Times New Roman" w:cs="Times New Roman"/>
                <w:b/>
                <w:bCs/>
                <w:color w:val="000000"/>
                <w:sz w:val="20"/>
                <w:szCs w:val="20"/>
                <w:rtl/>
              </w:rPr>
              <w:t>מספר תיקונים</w:t>
            </w:r>
          </w:p>
        </w:tc>
        <w:tc>
          <w:tcPr>
            <w:tcW w:w="0" w:type="auto"/>
            <w:shd w:val="clear" w:color="auto" w:fill="F9F9F9"/>
            <w:hideMark/>
          </w:tcPr>
          <w:p w:rsidR="00100887" w:rsidRPr="00100887" w:rsidRDefault="00100887" w:rsidP="00100887">
            <w:pPr>
              <w:spacing w:after="0" w:line="336" w:lineRule="atLeast"/>
              <w:rPr>
                <w:rFonts w:ascii="Times New Roman" w:eastAsia="Times New Roman" w:hAnsi="Times New Roman" w:cs="Times New Roman"/>
                <w:color w:val="000000"/>
                <w:sz w:val="20"/>
                <w:szCs w:val="20"/>
              </w:rPr>
            </w:pPr>
            <w:r w:rsidRPr="00100887">
              <w:rPr>
                <w:rFonts w:ascii="Times New Roman" w:eastAsia="Times New Roman" w:hAnsi="Times New Roman" w:cs="Times New Roman"/>
                <w:color w:val="000000"/>
                <w:sz w:val="20"/>
                <w:szCs w:val="20"/>
              </w:rPr>
              <w:t>6</w:t>
            </w:r>
          </w:p>
        </w:tc>
      </w:tr>
      <w:tr w:rsidR="00100887" w:rsidRPr="00100887" w:rsidTr="00100887">
        <w:trPr>
          <w:tblCellSpacing w:w="15" w:type="dxa"/>
        </w:trPr>
        <w:tc>
          <w:tcPr>
            <w:tcW w:w="0" w:type="auto"/>
            <w:shd w:val="clear" w:color="auto" w:fill="F9F9F9"/>
            <w:hideMark/>
          </w:tcPr>
          <w:p w:rsidR="00100887" w:rsidRPr="00100887" w:rsidRDefault="00100887" w:rsidP="00100887">
            <w:pPr>
              <w:spacing w:after="0" w:line="336" w:lineRule="atLeast"/>
              <w:rPr>
                <w:rFonts w:ascii="Times New Roman" w:eastAsia="Times New Roman" w:hAnsi="Times New Roman" w:cs="Times New Roman"/>
                <w:b/>
                <w:bCs/>
                <w:color w:val="000000"/>
                <w:sz w:val="20"/>
                <w:szCs w:val="20"/>
              </w:rPr>
            </w:pPr>
            <w:r w:rsidRPr="00100887">
              <w:rPr>
                <w:rFonts w:ascii="Times New Roman" w:eastAsia="Times New Roman" w:hAnsi="Times New Roman" w:cs="Times New Roman"/>
                <w:b/>
                <w:bCs/>
                <w:color w:val="000000"/>
                <w:sz w:val="20"/>
                <w:szCs w:val="20"/>
                <w:rtl/>
              </w:rPr>
              <w:t>נוסח מלא</w:t>
            </w:r>
          </w:p>
        </w:tc>
        <w:tc>
          <w:tcPr>
            <w:tcW w:w="0" w:type="auto"/>
            <w:shd w:val="clear" w:color="auto" w:fill="F9F9F9"/>
            <w:hideMark/>
          </w:tcPr>
          <w:p w:rsidR="00100887" w:rsidRPr="00100887" w:rsidRDefault="00100887" w:rsidP="00100887">
            <w:pPr>
              <w:spacing w:after="0" w:line="336" w:lineRule="atLeast"/>
              <w:rPr>
                <w:rFonts w:ascii="Times New Roman" w:eastAsia="Times New Roman" w:hAnsi="Times New Roman" w:cs="Times New Roman"/>
                <w:color w:val="000000"/>
                <w:sz w:val="20"/>
                <w:szCs w:val="20"/>
              </w:rPr>
            </w:pPr>
            <w:hyperlink r:id="rId15" w:history="1">
              <w:r w:rsidRPr="00100887">
                <w:rPr>
                  <w:rFonts w:ascii="Times New Roman" w:eastAsia="Times New Roman" w:hAnsi="Times New Roman" w:cs="Times New Roman"/>
                  <w:color w:val="3366CC"/>
                  <w:sz w:val="20"/>
                  <w:szCs w:val="20"/>
                  <w:rtl/>
                </w:rPr>
                <w:t>הנוסח המלא</w:t>
              </w:r>
            </w:hyperlink>
          </w:p>
        </w:tc>
      </w:tr>
      <w:tr w:rsidR="00100887" w:rsidRPr="00100887" w:rsidTr="00100887">
        <w:trPr>
          <w:tblCellSpacing w:w="15" w:type="dxa"/>
        </w:trPr>
        <w:tc>
          <w:tcPr>
            <w:tcW w:w="0" w:type="auto"/>
            <w:gridSpan w:val="2"/>
            <w:shd w:val="clear" w:color="auto" w:fill="F9F9F9"/>
            <w:hideMark/>
          </w:tcPr>
          <w:p w:rsidR="00100887" w:rsidRPr="00100887" w:rsidRDefault="00100887" w:rsidP="00100887">
            <w:pPr>
              <w:spacing w:after="0" w:line="336" w:lineRule="atLeast"/>
              <w:jc w:val="right"/>
              <w:rPr>
                <w:rFonts w:ascii="Times New Roman" w:eastAsia="Times New Roman" w:hAnsi="Times New Roman" w:cs="Times New Roman"/>
                <w:color w:val="000000"/>
                <w:sz w:val="20"/>
                <w:szCs w:val="20"/>
              </w:rPr>
            </w:pPr>
            <w:r w:rsidRPr="00100887">
              <w:rPr>
                <w:rFonts w:ascii="Times New Roman" w:eastAsia="Times New Roman" w:hAnsi="Times New Roman" w:cs="Times New Roman"/>
                <w:noProof/>
                <w:color w:val="3366CC"/>
                <w:sz w:val="20"/>
                <w:szCs w:val="20"/>
              </w:rPr>
              <w:drawing>
                <wp:inline distT="0" distB="0" distL="0" distR="0">
                  <wp:extent cx="205740" cy="114300"/>
                  <wp:effectExtent l="0" t="0" r="3810" b="0"/>
                  <wp:docPr id="2" name="תמונה 2" descr="לעריכה בוויקינתונים שמשמש מקור לחלק מהמידע בתבנית">
                    <a:hlinkClick xmlns:a="http://schemas.openxmlformats.org/drawingml/2006/main" r:id="rId16" tooltip="&quot;לעריכה בוויקינתונים שמשמש מקור לחלק מהמידע בתבני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עריכה בוויקינתונים שמשמש מקור לחלק מהמידע בתבנית">
                            <a:hlinkClick r:id="rId16" tooltip="&quot;לעריכה בוויקינתונים שמשמש מקור לחלק מהמידע בתבנית&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114300"/>
                          </a:xfrm>
                          <a:prstGeom prst="rect">
                            <a:avLst/>
                          </a:prstGeom>
                          <a:noFill/>
                          <a:ln>
                            <a:noFill/>
                          </a:ln>
                        </pic:spPr>
                      </pic:pic>
                    </a:graphicData>
                  </a:graphic>
                </wp:inline>
              </w:drawing>
            </w:r>
            <w:r w:rsidRPr="00100887">
              <w:rPr>
                <w:rFonts w:ascii="Times New Roman" w:eastAsia="Times New Roman" w:hAnsi="Times New Roman" w:cs="Times New Roman"/>
                <w:color w:val="000000"/>
                <w:sz w:val="20"/>
                <w:szCs w:val="20"/>
              </w:rPr>
              <w:t> </w:t>
            </w:r>
            <w:r w:rsidRPr="00100887">
              <w:rPr>
                <w:rFonts w:ascii="Times New Roman" w:eastAsia="Times New Roman" w:hAnsi="Times New Roman" w:cs="Times New Roman"/>
                <w:noProof/>
                <w:color w:val="3366CC"/>
                <w:sz w:val="20"/>
                <w:szCs w:val="20"/>
              </w:rPr>
              <w:drawing>
                <wp:inline distT="0" distB="0" distL="0" distR="0">
                  <wp:extent cx="152400" cy="152400"/>
                  <wp:effectExtent l="0" t="0" r="0" b="0"/>
                  <wp:docPr id="1" name="תמונה 1" descr="OOjs UI icon info big.svg">
                    <a:hlinkClick xmlns:a="http://schemas.openxmlformats.org/drawingml/2006/main" r:id="rId18" tooltip="&quot;עזרה:תבנית מידע&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js UI icon info big.svg">
                            <a:hlinkClick r:id="rId18" tooltip="&quot;עזרה:תבנית מידע&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00887" w:rsidRPr="00100887" w:rsidTr="00100887">
        <w:trPr>
          <w:tblCellSpacing w:w="15" w:type="dxa"/>
        </w:trPr>
        <w:tc>
          <w:tcPr>
            <w:tcW w:w="0" w:type="auto"/>
            <w:gridSpan w:val="2"/>
            <w:shd w:val="clear" w:color="auto" w:fill="F9F9F9"/>
          </w:tcPr>
          <w:p w:rsidR="00100887" w:rsidRPr="00100887" w:rsidRDefault="00100887" w:rsidP="00100887">
            <w:pPr>
              <w:spacing w:after="0" w:line="336" w:lineRule="atLeast"/>
              <w:rPr>
                <w:rFonts w:ascii="Times New Roman" w:eastAsia="Times New Roman" w:hAnsi="Times New Roman" w:cs="Times New Roman"/>
                <w:noProof/>
                <w:color w:val="3366CC"/>
                <w:sz w:val="20"/>
                <w:szCs w:val="20"/>
              </w:rPr>
            </w:pPr>
          </w:p>
        </w:tc>
      </w:tr>
    </w:tbl>
    <w:p w:rsidR="00100887" w:rsidRDefault="00100887" w:rsidP="00100887">
      <w:pPr>
        <w:shd w:val="clear" w:color="auto" w:fill="FFFFFF"/>
        <w:spacing w:before="120" w:after="120" w:line="240" w:lineRule="auto"/>
        <w:rPr>
          <w:rFonts w:ascii="Arial" w:eastAsia="Times New Roman" w:hAnsi="Arial" w:cs="Arial"/>
          <w:b/>
          <w:bCs/>
          <w:color w:val="202122"/>
          <w:sz w:val="24"/>
          <w:szCs w:val="24"/>
          <w:rtl/>
        </w:rPr>
      </w:pPr>
    </w:p>
    <w:p w:rsidR="00100887" w:rsidRPr="00100887" w:rsidRDefault="00100887" w:rsidP="00100887">
      <w:pPr>
        <w:shd w:val="clear" w:color="auto" w:fill="FFFFFF"/>
        <w:spacing w:before="120" w:after="120" w:line="240" w:lineRule="auto"/>
        <w:rPr>
          <w:rFonts w:ascii="Arial" w:eastAsia="Times New Roman" w:hAnsi="Arial" w:cs="Arial"/>
          <w:color w:val="202122"/>
          <w:sz w:val="24"/>
          <w:szCs w:val="24"/>
        </w:rPr>
      </w:pPr>
      <w:r w:rsidRPr="00100887">
        <w:rPr>
          <w:rFonts w:ascii="Arial" w:eastAsia="Times New Roman" w:hAnsi="Arial" w:cs="Arial" w:hint="cs"/>
          <w:b/>
          <w:bCs/>
          <w:color w:val="202122"/>
          <w:sz w:val="24"/>
          <w:szCs w:val="24"/>
          <w:rtl/>
        </w:rPr>
        <w:t>חוק הדרכים (שילוט), התשכ"ו-1966</w:t>
      </w:r>
      <w:r w:rsidRPr="00100887">
        <w:rPr>
          <w:rFonts w:ascii="Arial" w:eastAsia="Times New Roman" w:hAnsi="Arial" w:cs="Arial" w:hint="cs"/>
          <w:color w:val="202122"/>
          <w:sz w:val="24"/>
          <w:szCs w:val="24"/>
          <w:rtl/>
        </w:rPr>
        <w:t xml:space="preserve"> העוסק במתן הסמכה/אישור לשלט שיש בו הודעה לרבים בדרך של כתב, דפוס, הדבקה, הצגה, צביעה, חריטה וכדומה. חוק זה עוסק בעיקרו באיסורים, </w:t>
      </w:r>
      <w:proofErr w:type="spellStart"/>
      <w:r w:rsidRPr="00100887">
        <w:rPr>
          <w:rFonts w:ascii="Arial" w:eastAsia="Times New Roman" w:hAnsi="Arial" w:cs="Arial" w:hint="cs"/>
          <w:color w:val="202122"/>
          <w:sz w:val="24"/>
          <w:szCs w:val="24"/>
          <w:rtl/>
        </w:rPr>
        <w:t>בהסמכות</w:t>
      </w:r>
      <w:proofErr w:type="spellEnd"/>
      <w:r w:rsidRPr="00100887">
        <w:rPr>
          <w:rFonts w:ascii="Arial" w:eastAsia="Times New Roman" w:hAnsi="Arial" w:cs="Arial" w:hint="cs"/>
          <w:color w:val="202122"/>
          <w:sz w:val="24"/>
          <w:szCs w:val="24"/>
          <w:rtl/>
        </w:rPr>
        <w:t xml:space="preserve"> וכדומה.</w:t>
      </w:r>
    </w:p>
    <w:p w:rsidR="00100887" w:rsidRDefault="00100887" w:rsidP="00100887">
      <w:pPr>
        <w:shd w:val="clear" w:color="auto" w:fill="FFFFFF"/>
        <w:spacing w:before="120" w:after="120" w:line="240" w:lineRule="auto"/>
        <w:rPr>
          <w:rFonts w:ascii="Arial" w:eastAsia="Times New Roman" w:hAnsi="Arial" w:cs="Arial"/>
          <w:color w:val="202122"/>
          <w:sz w:val="24"/>
          <w:szCs w:val="24"/>
          <w:rtl/>
        </w:rPr>
      </w:pPr>
      <w:r w:rsidRPr="00100887">
        <w:rPr>
          <w:rFonts w:ascii="Arial" w:eastAsia="Times New Roman" w:hAnsi="Arial" w:cs="Arial" w:hint="cs"/>
          <w:color w:val="202122"/>
          <w:sz w:val="24"/>
          <w:szCs w:val="24"/>
          <w:rtl/>
        </w:rPr>
        <w:t>החוק נחקק בעקבות שילוט מסחרי פיראטי בדרכים בין עירוניות. החוק עבר שינויים אך עדיין אינו נאכף בצורה מלאה.</w:t>
      </w:r>
    </w:p>
    <w:p w:rsidR="00100887" w:rsidRPr="00100887" w:rsidRDefault="00100887" w:rsidP="00100887">
      <w:pPr>
        <w:shd w:val="clear" w:color="auto" w:fill="FFFFFF"/>
        <w:spacing w:before="120" w:after="120" w:line="240" w:lineRule="auto"/>
        <w:rPr>
          <w:rFonts w:ascii="Arial" w:eastAsia="Times New Roman" w:hAnsi="Arial" w:cs="Arial" w:hint="cs"/>
          <w:color w:val="202122"/>
          <w:sz w:val="24"/>
          <w:szCs w:val="24"/>
          <w:rtl/>
        </w:rPr>
      </w:pPr>
      <w:bookmarkStart w:id="0" w:name="_GoBack"/>
      <w:bookmarkEnd w:id="0"/>
    </w:p>
    <w:p w:rsidR="00100887" w:rsidRPr="00100887" w:rsidRDefault="00100887" w:rsidP="00100887">
      <w:pPr>
        <w:pBdr>
          <w:bottom w:val="single" w:sz="6" w:space="0" w:color="A2A9B1"/>
        </w:pBdr>
        <w:shd w:val="clear" w:color="auto" w:fill="FFFFFF"/>
        <w:spacing w:before="240" w:after="60" w:line="240" w:lineRule="auto"/>
        <w:outlineLvl w:val="1"/>
        <w:rPr>
          <w:rFonts w:ascii="Arial" w:eastAsia="Times New Roman" w:hAnsi="Arial" w:cs="Arial" w:hint="cs"/>
          <w:color w:val="000000"/>
          <w:sz w:val="36"/>
          <w:szCs w:val="36"/>
          <w:rtl/>
        </w:rPr>
      </w:pPr>
      <w:r w:rsidRPr="00100887">
        <w:rPr>
          <w:rFonts w:ascii="Arial" w:eastAsia="Times New Roman" w:hAnsi="Arial" w:cs="Arial"/>
          <w:color w:val="000000"/>
          <w:sz w:val="36"/>
          <w:szCs w:val="36"/>
          <w:rtl/>
        </w:rPr>
        <w:lastRenderedPageBreak/>
        <w:t xml:space="preserve">עיקרי </w:t>
      </w:r>
      <w:r>
        <w:rPr>
          <w:rFonts w:ascii="Arial" w:eastAsia="Times New Roman" w:hAnsi="Arial" w:cs="Arial"/>
          <w:color w:val="000000"/>
          <w:sz w:val="36"/>
          <w:szCs w:val="36"/>
          <w:rtl/>
        </w:rPr>
        <w:t>הח</w:t>
      </w:r>
      <w:r>
        <w:rPr>
          <w:rFonts w:ascii="Arial" w:eastAsia="Times New Roman" w:hAnsi="Arial" w:cs="Arial" w:hint="cs"/>
          <w:color w:val="000000"/>
          <w:sz w:val="36"/>
          <w:szCs w:val="36"/>
          <w:rtl/>
        </w:rPr>
        <w:t>וק</w:t>
      </w:r>
      <w:r w:rsidRPr="00100887">
        <w:rPr>
          <w:rFonts w:ascii="Arial" w:eastAsia="Times New Roman" w:hAnsi="Arial" w:cs="Arial" w:hint="cs"/>
          <w:color w:val="000000"/>
          <w:sz w:val="36"/>
          <w:szCs w:val="36"/>
          <w:rtl/>
        </w:rPr>
        <w:t xml:space="preserve"> </w:t>
      </w:r>
    </w:p>
    <w:p w:rsidR="00100887" w:rsidRPr="00100887" w:rsidRDefault="00100887" w:rsidP="00100887">
      <w:pPr>
        <w:shd w:val="clear" w:color="auto" w:fill="FFFFFF"/>
        <w:spacing w:before="120" w:after="120" w:line="240" w:lineRule="auto"/>
        <w:rPr>
          <w:rFonts w:ascii="Arial" w:eastAsia="Times New Roman" w:hAnsi="Arial" w:cs="Arial"/>
          <w:color w:val="202122"/>
          <w:sz w:val="24"/>
          <w:szCs w:val="24"/>
          <w:rtl/>
        </w:rPr>
      </w:pPr>
      <w:r w:rsidRPr="00100887">
        <w:rPr>
          <w:rFonts w:ascii="Arial" w:eastAsia="Times New Roman" w:hAnsi="Arial" w:cs="Arial" w:hint="cs"/>
          <w:color w:val="202122"/>
          <w:sz w:val="24"/>
          <w:szCs w:val="24"/>
          <w:rtl/>
        </w:rPr>
        <w:t xml:space="preserve">החוק המרכזי העוסק בדיני חוקי דרכים ושילוט הוא חוק הדרכים (שילוט), </w:t>
      </w:r>
      <w:proofErr w:type="spellStart"/>
      <w:r w:rsidRPr="00100887">
        <w:rPr>
          <w:rFonts w:ascii="Arial" w:eastAsia="Times New Roman" w:hAnsi="Arial" w:cs="Arial" w:hint="cs"/>
          <w:color w:val="202122"/>
          <w:sz w:val="24"/>
          <w:szCs w:val="24"/>
          <w:rtl/>
        </w:rPr>
        <w:t>התשכ"ו</w:t>
      </w:r>
      <w:proofErr w:type="spellEnd"/>
      <w:r w:rsidRPr="00100887">
        <w:rPr>
          <w:rFonts w:ascii="Arial" w:eastAsia="Times New Roman" w:hAnsi="Arial" w:cs="Arial" w:hint="cs"/>
          <w:color w:val="202122"/>
          <w:sz w:val="24"/>
          <w:szCs w:val="24"/>
          <w:rtl/>
        </w:rPr>
        <w:t xml:space="preserve"> -1966. אסור לאדם להחנות רכב שיש עליו שלט בולט, הנראה לעיני מי שנוהג בדרך עירונית או בין עירונית לצורך פרסומת, אלא אם זה הותר לו על פי חוק.</w:t>
      </w:r>
    </w:p>
    <w:p w:rsidR="00100887" w:rsidRPr="00100887" w:rsidRDefault="00100887" w:rsidP="00100887">
      <w:pPr>
        <w:shd w:val="clear" w:color="auto" w:fill="FFFFFF"/>
        <w:spacing w:before="120" w:after="120" w:line="240" w:lineRule="auto"/>
        <w:rPr>
          <w:rFonts w:ascii="Arial" w:eastAsia="Times New Roman" w:hAnsi="Arial" w:cs="Arial" w:hint="cs"/>
          <w:color w:val="202122"/>
          <w:sz w:val="24"/>
          <w:szCs w:val="24"/>
          <w:rtl/>
        </w:rPr>
      </w:pPr>
      <w:r w:rsidRPr="00100887">
        <w:rPr>
          <w:rFonts w:ascii="Arial" w:eastAsia="Times New Roman" w:hAnsi="Arial" w:cs="Arial" w:hint="cs"/>
          <w:color w:val="202122"/>
          <w:sz w:val="24"/>
          <w:szCs w:val="24"/>
          <w:rtl/>
        </w:rPr>
        <w:t xml:space="preserve">כמו כן אין להתקין שלט הנראה לעיני מי שנוהג בדרך עירונית, אלא אם ניתן לכך אישור ועל השלט צוין מי הזמין את הכנת השלט או התקנתו. הסמכות למתן היתר להתקנת שלט חוצות היא בתחום הרשות המקומית ובאישור הוועדה המחוזית. </w:t>
      </w:r>
    </w:p>
    <w:p w:rsidR="00100887" w:rsidRPr="00100887" w:rsidRDefault="00100887" w:rsidP="00100887">
      <w:pPr>
        <w:shd w:val="clear" w:color="auto" w:fill="FFFFFF"/>
        <w:spacing w:before="120" w:after="120" w:line="240" w:lineRule="auto"/>
        <w:rPr>
          <w:rFonts w:ascii="Arial" w:eastAsia="Times New Roman" w:hAnsi="Arial" w:cs="Arial" w:hint="cs"/>
          <w:color w:val="202122"/>
          <w:sz w:val="24"/>
          <w:szCs w:val="24"/>
          <w:rtl/>
        </w:rPr>
      </w:pPr>
      <w:r w:rsidRPr="00100887">
        <w:rPr>
          <w:rFonts w:ascii="Arial" w:eastAsia="Times New Roman" w:hAnsi="Arial" w:cs="Arial" w:hint="cs"/>
          <w:color w:val="202122"/>
          <w:sz w:val="24"/>
          <w:szCs w:val="24"/>
          <w:rtl/>
        </w:rPr>
        <w:t>כאשר רוצים להתקין שלט מחוץ לתחום של הרשות המקומית, יש לפעול לקבלת היתר מהוועדה המחוזית. ניתן להעניק היתר לשלט חוצות, אם הוא נועד למניעת תאונות דרכים, שריפות, לכלוך או השלכת פסולת, להודיע על מפעל או בית עסק, הימצאותו של אתר קדוש, גן לאומי, פארק לאומי, אתר ניצחון והנצחה או אתר היסטורי. כמו כן ניתן היתר להתקנת שלטים של הרשות המקומית, על מנת להודיע על כניסה לשטחי הרשות ושלטים המודיעים על נותן חסות לניקיון ולטיפוח קטע מסוים בדרך בינעירונית.</w:t>
      </w:r>
    </w:p>
    <w:p w:rsidR="00100887" w:rsidRPr="00100887" w:rsidRDefault="00100887" w:rsidP="00100887">
      <w:pPr>
        <w:shd w:val="clear" w:color="auto" w:fill="FFFFFF"/>
        <w:spacing w:before="120" w:after="120" w:line="240" w:lineRule="auto"/>
        <w:rPr>
          <w:rFonts w:ascii="Arial" w:eastAsia="Times New Roman" w:hAnsi="Arial" w:cs="Arial" w:hint="cs"/>
          <w:color w:val="202122"/>
          <w:sz w:val="24"/>
          <w:szCs w:val="24"/>
          <w:rtl/>
        </w:rPr>
      </w:pPr>
      <w:r w:rsidRPr="00100887">
        <w:rPr>
          <w:rFonts w:ascii="Arial" w:eastAsia="Times New Roman" w:hAnsi="Arial" w:cs="Arial" w:hint="cs"/>
          <w:color w:val="202122"/>
          <w:sz w:val="24"/>
          <w:szCs w:val="24"/>
          <w:rtl/>
        </w:rPr>
        <w:t xml:space="preserve">החוק תקף עבור שלטי המדינה למעט שלטי צה"ל או משטרת ישראל ותמרורים. </w:t>
      </w:r>
    </w:p>
    <w:p w:rsidR="00100887" w:rsidRPr="00100887" w:rsidRDefault="00100887" w:rsidP="00100887">
      <w:pPr>
        <w:shd w:val="clear" w:color="auto" w:fill="FFFFFF"/>
        <w:spacing w:before="72" w:after="0" w:line="240" w:lineRule="auto"/>
        <w:outlineLvl w:val="4"/>
        <w:rPr>
          <w:rFonts w:ascii="Arial" w:eastAsia="Times New Roman" w:hAnsi="Arial" w:cs="Arial" w:hint="cs"/>
          <w:b/>
          <w:bCs/>
          <w:color w:val="000000"/>
          <w:sz w:val="21"/>
          <w:szCs w:val="21"/>
          <w:rtl/>
        </w:rPr>
      </w:pPr>
      <w:r w:rsidRPr="00100887">
        <w:rPr>
          <w:rFonts w:ascii="Arial" w:eastAsia="Times New Roman" w:hAnsi="Arial" w:cs="Arial" w:hint="cs"/>
          <w:b/>
          <w:bCs/>
          <w:color w:val="000000"/>
          <w:sz w:val="21"/>
          <w:szCs w:val="21"/>
          <w:rtl/>
        </w:rPr>
        <w:t xml:space="preserve">הסמכות למתן היתרים </w:t>
      </w:r>
    </w:p>
    <w:p w:rsidR="00100887" w:rsidRDefault="00100887" w:rsidP="00100887">
      <w:pPr>
        <w:shd w:val="clear" w:color="auto" w:fill="FFFFFF"/>
        <w:spacing w:before="120" w:after="120" w:line="240" w:lineRule="auto"/>
        <w:rPr>
          <w:rFonts w:ascii="Arial" w:eastAsia="Times New Roman" w:hAnsi="Arial" w:cs="Arial"/>
          <w:color w:val="202122"/>
          <w:sz w:val="24"/>
          <w:szCs w:val="24"/>
          <w:vertAlign w:val="superscript"/>
          <w:rtl/>
        </w:rPr>
      </w:pPr>
      <w:r w:rsidRPr="00100887">
        <w:rPr>
          <w:rFonts w:ascii="Arial" w:eastAsia="Times New Roman" w:hAnsi="Arial" w:cs="Arial" w:hint="cs"/>
          <w:color w:val="202122"/>
          <w:sz w:val="24"/>
          <w:szCs w:val="24"/>
          <w:rtl/>
        </w:rPr>
        <w:t>הסמכות לתת היתר לשלט נתונה לוועדת היתרים שחבריה הם: נציג שר התשתיות הלאומיות (יו"ר), נציג השר לאיכות הסביבה, נציג שר התחבורה, נציג שר הפנים, נציג השר לביטחון הפנים ושני נציגים של גופים ציבוריים הקשורים לשמירת איכות הסביבה וימונו על ידי השר לאיכות הסביבה. הסמכות היא של הרשות המקומית ששופטת את קבלת ההיתרים.</w:t>
      </w:r>
    </w:p>
    <w:p w:rsidR="00100887" w:rsidRPr="00100887" w:rsidRDefault="00100887" w:rsidP="00100887">
      <w:pPr>
        <w:shd w:val="clear" w:color="auto" w:fill="FFFFFF"/>
        <w:spacing w:before="120" w:after="120" w:line="240" w:lineRule="auto"/>
        <w:rPr>
          <w:rFonts w:ascii="Arial" w:eastAsia="Times New Roman" w:hAnsi="Arial" w:cs="Arial" w:hint="cs"/>
          <w:color w:val="202122"/>
          <w:sz w:val="24"/>
          <w:szCs w:val="24"/>
          <w:rtl/>
        </w:rPr>
      </w:pPr>
      <w:r w:rsidRPr="00100887">
        <w:rPr>
          <w:rFonts w:ascii="Arial" w:eastAsia="Times New Roman" w:hAnsi="Arial" w:cs="Arial" w:hint="cs"/>
          <w:color w:val="202122"/>
          <w:sz w:val="24"/>
          <w:szCs w:val="24"/>
          <w:rtl/>
        </w:rPr>
        <w:t xml:space="preserve"> </w:t>
      </w:r>
    </w:p>
    <w:p w:rsidR="00100887" w:rsidRPr="00100887" w:rsidRDefault="00100887" w:rsidP="00100887">
      <w:pPr>
        <w:shd w:val="clear" w:color="auto" w:fill="FFFFFF"/>
        <w:spacing w:before="72" w:after="0" w:line="240" w:lineRule="auto"/>
        <w:outlineLvl w:val="4"/>
        <w:rPr>
          <w:rFonts w:ascii="Arial" w:eastAsia="Times New Roman" w:hAnsi="Arial" w:cs="Arial" w:hint="cs"/>
          <w:b/>
          <w:bCs/>
          <w:color w:val="000000"/>
          <w:sz w:val="21"/>
          <w:szCs w:val="21"/>
          <w:rtl/>
        </w:rPr>
      </w:pPr>
      <w:r w:rsidRPr="00100887">
        <w:rPr>
          <w:rFonts w:ascii="Arial" w:eastAsia="Times New Roman" w:hAnsi="Arial" w:cs="Arial" w:hint="cs"/>
          <w:b/>
          <w:bCs/>
          <w:color w:val="000000"/>
          <w:sz w:val="21"/>
          <w:szCs w:val="21"/>
          <w:rtl/>
        </w:rPr>
        <w:t xml:space="preserve">סילוק שלט ללא היתר </w:t>
      </w:r>
    </w:p>
    <w:p w:rsidR="00100887" w:rsidRPr="00100887" w:rsidRDefault="00100887" w:rsidP="00100887">
      <w:pPr>
        <w:shd w:val="clear" w:color="auto" w:fill="FFFFFF"/>
        <w:spacing w:before="120" w:after="120" w:line="240" w:lineRule="auto"/>
        <w:rPr>
          <w:rFonts w:ascii="Arial" w:eastAsia="Times New Roman" w:hAnsi="Arial" w:cs="Arial" w:hint="cs"/>
          <w:color w:val="202122"/>
          <w:sz w:val="24"/>
          <w:szCs w:val="24"/>
          <w:rtl/>
        </w:rPr>
      </w:pPr>
      <w:r w:rsidRPr="00100887">
        <w:rPr>
          <w:rFonts w:ascii="Arial" w:eastAsia="Times New Roman" w:hAnsi="Arial" w:cs="Arial" w:hint="cs"/>
          <w:color w:val="202122"/>
          <w:sz w:val="24"/>
          <w:szCs w:val="24"/>
          <w:rtl/>
        </w:rPr>
        <w:t>שלט שהותקן בניגוד להוראות ובניגוד לחוק, הרשות רשאית להסיר אותו, להרוס אותו ולסלקו, זאת לאחר שנמסרה התראה לבעל השלט, והוא לא הסיר את השלט בפרק הזמן שנקבע בהתראה.</w:t>
      </w:r>
    </w:p>
    <w:p w:rsidR="00100887" w:rsidRPr="00100887" w:rsidRDefault="00100887" w:rsidP="00100887">
      <w:pPr>
        <w:shd w:val="clear" w:color="auto" w:fill="FFFFFF"/>
        <w:spacing w:before="120" w:after="120" w:line="240" w:lineRule="auto"/>
        <w:rPr>
          <w:rFonts w:ascii="Arial" w:eastAsia="Times New Roman" w:hAnsi="Arial" w:cs="Arial" w:hint="cs"/>
          <w:color w:val="202122"/>
          <w:sz w:val="24"/>
          <w:szCs w:val="24"/>
          <w:rtl/>
        </w:rPr>
      </w:pPr>
      <w:r w:rsidRPr="00100887">
        <w:rPr>
          <w:rFonts w:ascii="Arial" w:eastAsia="Times New Roman" w:hAnsi="Arial" w:cs="Arial" w:hint="cs"/>
          <w:color w:val="202122"/>
          <w:sz w:val="24"/>
          <w:szCs w:val="24"/>
          <w:rtl/>
        </w:rPr>
        <w:t xml:space="preserve">כמו כן, רשאית הרשות להסרתו באופן </w:t>
      </w:r>
      <w:proofErr w:type="spellStart"/>
      <w:r w:rsidRPr="00100887">
        <w:rPr>
          <w:rFonts w:ascii="Arial" w:eastAsia="Times New Roman" w:hAnsi="Arial" w:cs="Arial" w:hint="cs"/>
          <w:color w:val="202122"/>
          <w:sz w:val="24"/>
          <w:szCs w:val="24"/>
          <w:rtl/>
        </w:rPr>
        <w:t>מיידי</w:t>
      </w:r>
      <w:proofErr w:type="spellEnd"/>
      <w:r w:rsidRPr="00100887">
        <w:rPr>
          <w:rFonts w:ascii="Arial" w:eastAsia="Times New Roman" w:hAnsi="Arial" w:cs="Arial" w:hint="cs"/>
          <w:color w:val="202122"/>
          <w:sz w:val="24"/>
          <w:szCs w:val="24"/>
          <w:rtl/>
        </w:rPr>
        <w:t xml:space="preserve"> ללא מתן הוראה, אם השלט מסכן את בטיחות הציבור, את הנמצאים בסביבתו או אם לא ניתן לברר מיהו בעל השלט כדי לשלוח התראה.</w:t>
      </w:r>
    </w:p>
    <w:p w:rsidR="00100887" w:rsidRPr="00100887" w:rsidRDefault="00100887" w:rsidP="00100887">
      <w:pPr>
        <w:shd w:val="clear" w:color="auto" w:fill="FFFFFF"/>
        <w:spacing w:before="120" w:after="120" w:line="240" w:lineRule="auto"/>
        <w:rPr>
          <w:rFonts w:ascii="Arial" w:eastAsia="Times New Roman" w:hAnsi="Arial" w:cs="Arial" w:hint="cs"/>
          <w:color w:val="202122"/>
          <w:sz w:val="24"/>
          <w:szCs w:val="24"/>
          <w:rtl/>
        </w:rPr>
      </w:pPr>
      <w:r w:rsidRPr="00100887">
        <w:rPr>
          <w:rFonts w:ascii="Arial" w:eastAsia="Times New Roman" w:hAnsi="Arial" w:cs="Arial" w:hint="cs"/>
          <w:color w:val="202122"/>
          <w:sz w:val="24"/>
          <w:szCs w:val="24"/>
          <w:rtl/>
        </w:rPr>
        <w:t xml:space="preserve">בנוסף, אם אותו שלט סולק או הוסר על ידי הרשויות, בעל השלט יחזיר לאוצר המדינה כפול מההוצאות שהוצאו להריסתו. זאת ועוד, הרשות, או מי שהוסמך לכך על ידיה, רשאית להיכנס לכל החצרות ולהשתמש במידה סבירה של כוח כדי לבצע את סמכויותיה. לפי חוק זה, שלט אשר הפך לשלט אסור הוא שלט שהיה מותר בחוק, ולאחר מכן נוצר כביש חדש או הדרך הפכה לבין עירונית. לאדם אשר התקין את השלט יש שלושים יום לקבל אישור חוזר על השלט בלי שינקטו כלפיו צעדים משפטיים. </w:t>
      </w:r>
    </w:p>
    <w:p w:rsidR="00100887" w:rsidRPr="00100887" w:rsidRDefault="00100887" w:rsidP="00100887">
      <w:pPr>
        <w:shd w:val="clear" w:color="auto" w:fill="FFFFFF"/>
        <w:spacing w:before="72" w:after="0" w:line="240" w:lineRule="auto"/>
        <w:outlineLvl w:val="4"/>
        <w:rPr>
          <w:rFonts w:ascii="Arial" w:eastAsia="Times New Roman" w:hAnsi="Arial" w:cs="Arial" w:hint="cs"/>
          <w:b/>
          <w:bCs/>
          <w:color w:val="000000"/>
          <w:sz w:val="21"/>
          <w:szCs w:val="21"/>
          <w:rtl/>
        </w:rPr>
      </w:pPr>
      <w:r w:rsidRPr="00100887">
        <w:rPr>
          <w:rFonts w:ascii="Arial" w:eastAsia="Times New Roman" w:hAnsi="Arial" w:cs="Arial" w:hint="cs"/>
          <w:b/>
          <w:bCs/>
          <w:color w:val="000000"/>
          <w:sz w:val="21"/>
          <w:szCs w:val="21"/>
          <w:rtl/>
        </w:rPr>
        <w:t xml:space="preserve">עונשין </w:t>
      </w:r>
    </w:p>
    <w:p w:rsidR="00100887" w:rsidRPr="00100887" w:rsidRDefault="00100887" w:rsidP="00100887">
      <w:pPr>
        <w:shd w:val="clear" w:color="auto" w:fill="FFFFFF"/>
        <w:spacing w:before="120" w:after="120" w:line="240" w:lineRule="auto"/>
        <w:rPr>
          <w:rFonts w:ascii="Arial" w:eastAsia="Times New Roman" w:hAnsi="Arial" w:cs="Arial" w:hint="cs"/>
          <w:color w:val="202122"/>
          <w:sz w:val="24"/>
          <w:szCs w:val="24"/>
          <w:rtl/>
        </w:rPr>
      </w:pPr>
      <w:r w:rsidRPr="00100887">
        <w:rPr>
          <w:rFonts w:ascii="Arial" w:eastAsia="Times New Roman" w:hAnsi="Arial" w:cs="Arial" w:hint="cs"/>
          <w:color w:val="202122"/>
          <w:sz w:val="24"/>
          <w:szCs w:val="24"/>
          <w:rtl/>
        </w:rPr>
        <w:t>אדם המבצע אחת מעבירות אילו ייענש: מתקין שלט בניגוד להוראות החוק, אינו מקיים תנאי מתנאי האישור, מחנה רכב נושא שלט בניגוד להוראות ואינו מסלק שלט כפי שנדרש בהתראה עובר על החוק. אם העברה נמשכת, רשאי בית המשפט להטיל קנס נוסף בשיעור של חמישה אחוזים מסכום הקנס הקבוע לאותה עבירה לכל יום שבו נמשכת העבירה. אדם שהורשע ולאחר שנתיים ביצע עבירה זו שנית, יחויב בקנס כפול מהקנס שבית המשפט הטיל עליו. העבירה היא מסוג העבירות של </w:t>
      </w:r>
      <w:hyperlink r:id="rId20" w:tooltip="אחריות קפידה" w:history="1">
        <w:r w:rsidRPr="00100887">
          <w:rPr>
            <w:rFonts w:ascii="Arial" w:eastAsia="Times New Roman" w:hAnsi="Arial" w:cs="Arial" w:hint="cs"/>
            <w:color w:val="3366CC"/>
            <w:sz w:val="24"/>
            <w:szCs w:val="24"/>
            <w:rtl/>
          </w:rPr>
          <w:t>אחריות קפידה</w:t>
        </w:r>
      </w:hyperlink>
      <w:r w:rsidRPr="00100887">
        <w:rPr>
          <w:rFonts w:ascii="Arial" w:eastAsia="Times New Roman" w:hAnsi="Arial" w:cs="Arial" w:hint="cs"/>
          <w:color w:val="202122"/>
          <w:sz w:val="24"/>
          <w:szCs w:val="24"/>
          <w:rtl/>
        </w:rPr>
        <w:t xml:space="preserve">, והקנס שהוטל בשל העבירה ישולם לקרן לשמירת הניקיון. </w:t>
      </w:r>
    </w:p>
    <w:p w:rsidR="00DD779F" w:rsidRDefault="00DD779F"/>
    <w:sectPr w:rsidR="00DD779F" w:rsidSect="00F510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5F23"/>
    <w:multiLevelType w:val="multilevel"/>
    <w:tmpl w:val="F5B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27510"/>
    <w:multiLevelType w:val="multilevel"/>
    <w:tmpl w:val="57CE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87"/>
    <w:rsid w:val="00100887"/>
    <w:rsid w:val="00DD779F"/>
    <w:rsid w:val="00F510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3EC9"/>
  <w15:chartTrackingRefBased/>
  <w15:docId w15:val="{4AE16872-2A3D-4161-B532-DE8DF05F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1008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08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10088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0887"/>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100887"/>
    <w:rPr>
      <w:rFonts w:ascii="Times New Roman" w:eastAsia="Times New Roman" w:hAnsi="Times New Roman" w:cs="Times New Roman"/>
      <w:b/>
      <w:bCs/>
      <w:sz w:val="36"/>
      <w:szCs w:val="36"/>
    </w:rPr>
  </w:style>
  <w:style w:type="character" w:customStyle="1" w:styleId="50">
    <w:name w:val="כותרת 5 תו"/>
    <w:basedOn w:val="a0"/>
    <w:link w:val="5"/>
    <w:uiPriority w:val="9"/>
    <w:rsid w:val="00100887"/>
    <w:rPr>
      <w:rFonts w:ascii="Times New Roman" w:eastAsia="Times New Roman" w:hAnsi="Times New Roman" w:cs="Times New Roman"/>
      <w:b/>
      <w:bCs/>
      <w:sz w:val="20"/>
      <w:szCs w:val="20"/>
    </w:rPr>
  </w:style>
  <w:style w:type="character" w:customStyle="1" w:styleId="mw-page-title-main">
    <w:name w:val="mw-page-title-main"/>
    <w:basedOn w:val="a0"/>
    <w:rsid w:val="00100887"/>
  </w:style>
  <w:style w:type="character" w:customStyle="1" w:styleId="vector-menu-heading-label">
    <w:name w:val="vector-menu-heading-label"/>
    <w:basedOn w:val="a0"/>
    <w:rsid w:val="00100887"/>
  </w:style>
  <w:style w:type="character" w:styleId="Hyperlink">
    <w:name w:val="Hyperlink"/>
    <w:basedOn w:val="a0"/>
    <w:uiPriority w:val="99"/>
    <w:semiHidden/>
    <w:unhideWhenUsed/>
    <w:rsid w:val="00100887"/>
    <w:rPr>
      <w:color w:val="0000FF"/>
      <w:u w:val="single"/>
    </w:rPr>
  </w:style>
  <w:style w:type="paragraph" w:styleId="NormalWeb">
    <w:name w:val="Normal (Web)"/>
    <w:basedOn w:val="a"/>
    <w:uiPriority w:val="99"/>
    <w:semiHidden/>
    <w:unhideWhenUsed/>
    <w:rsid w:val="001008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100887"/>
  </w:style>
  <w:style w:type="character" w:customStyle="1" w:styleId="mw-editsection">
    <w:name w:val="mw-editsection"/>
    <w:basedOn w:val="a0"/>
    <w:rsid w:val="00100887"/>
  </w:style>
  <w:style w:type="character" w:customStyle="1" w:styleId="mw-editsection-bracket">
    <w:name w:val="mw-editsection-bracket"/>
    <w:basedOn w:val="a0"/>
    <w:rsid w:val="00100887"/>
  </w:style>
  <w:style w:type="character" w:customStyle="1" w:styleId="mw-editsection-divider">
    <w:name w:val="mw-editsection-divider"/>
    <w:basedOn w:val="a0"/>
    <w:rsid w:val="00100887"/>
  </w:style>
  <w:style w:type="paragraph" w:styleId="a3">
    <w:name w:val="Balloon Text"/>
    <w:basedOn w:val="a"/>
    <w:link w:val="a4"/>
    <w:uiPriority w:val="99"/>
    <w:semiHidden/>
    <w:unhideWhenUsed/>
    <w:rsid w:val="00100887"/>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10088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6022">
      <w:bodyDiv w:val="1"/>
      <w:marLeft w:val="0"/>
      <w:marRight w:val="0"/>
      <w:marTop w:val="0"/>
      <w:marBottom w:val="0"/>
      <w:divBdr>
        <w:top w:val="none" w:sz="0" w:space="0" w:color="auto"/>
        <w:left w:val="none" w:sz="0" w:space="0" w:color="auto"/>
        <w:bottom w:val="none" w:sz="0" w:space="0" w:color="auto"/>
        <w:right w:val="none" w:sz="0" w:space="0" w:color="auto"/>
      </w:divBdr>
      <w:divsChild>
        <w:div w:id="331615431">
          <w:marLeft w:val="-180"/>
          <w:marRight w:val="0"/>
          <w:marTop w:val="30"/>
          <w:marBottom w:val="0"/>
          <w:divBdr>
            <w:top w:val="none" w:sz="0" w:space="0" w:color="auto"/>
            <w:left w:val="none" w:sz="0" w:space="0" w:color="auto"/>
            <w:bottom w:val="none" w:sz="0" w:space="0" w:color="auto"/>
            <w:right w:val="none" w:sz="0" w:space="0" w:color="auto"/>
          </w:divBdr>
        </w:div>
        <w:div w:id="77024644">
          <w:marLeft w:val="0"/>
          <w:marRight w:val="0"/>
          <w:marTop w:val="0"/>
          <w:marBottom w:val="0"/>
          <w:divBdr>
            <w:top w:val="none" w:sz="0" w:space="0" w:color="auto"/>
            <w:left w:val="none" w:sz="0" w:space="0" w:color="auto"/>
            <w:bottom w:val="none" w:sz="0" w:space="0" w:color="auto"/>
            <w:right w:val="none" w:sz="0" w:space="0" w:color="auto"/>
          </w:divBdr>
          <w:divsChild>
            <w:div w:id="1664892268">
              <w:marLeft w:val="0"/>
              <w:marRight w:val="0"/>
              <w:marTop w:val="0"/>
              <w:marBottom w:val="15"/>
              <w:divBdr>
                <w:top w:val="none" w:sz="0" w:space="0" w:color="auto"/>
                <w:left w:val="none" w:sz="0" w:space="0" w:color="auto"/>
                <w:bottom w:val="none" w:sz="0" w:space="0" w:color="auto"/>
                <w:right w:val="none" w:sz="0" w:space="0" w:color="auto"/>
              </w:divBdr>
              <w:divsChild>
                <w:div w:id="1821731644">
                  <w:marLeft w:val="0"/>
                  <w:marRight w:val="-120"/>
                  <w:marTop w:val="0"/>
                  <w:marBottom w:val="0"/>
                  <w:divBdr>
                    <w:top w:val="none" w:sz="0" w:space="0" w:color="auto"/>
                    <w:left w:val="none" w:sz="0" w:space="0" w:color="auto"/>
                    <w:bottom w:val="none" w:sz="0" w:space="0" w:color="auto"/>
                    <w:right w:val="none" w:sz="0" w:space="0" w:color="auto"/>
                  </w:divBdr>
                  <w:divsChild>
                    <w:div w:id="1757946004">
                      <w:marLeft w:val="0"/>
                      <w:marRight w:val="0"/>
                      <w:marTop w:val="0"/>
                      <w:marBottom w:val="0"/>
                      <w:divBdr>
                        <w:top w:val="none" w:sz="0" w:space="0" w:color="auto"/>
                        <w:left w:val="none" w:sz="0" w:space="0" w:color="auto"/>
                        <w:bottom w:val="none" w:sz="0" w:space="0" w:color="auto"/>
                        <w:right w:val="none" w:sz="0" w:space="0" w:color="auto"/>
                      </w:divBdr>
                      <w:divsChild>
                        <w:div w:id="3828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0944">
                  <w:marLeft w:val="-120"/>
                  <w:marRight w:val="0"/>
                  <w:marTop w:val="0"/>
                  <w:marBottom w:val="0"/>
                  <w:divBdr>
                    <w:top w:val="none" w:sz="0" w:space="0" w:color="auto"/>
                    <w:left w:val="none" w:sz="0" w:space="0" w:color="auto"/>
                    <w:bottom w:val="none" w:sz="0" w:space="0" w:color="auto"/>
                    <w:right w:val="none" w:sz="0" w:space="0" w:color="auto"/>
                  </w:divBdr>
                  <w:divsChild>
                    <w:div w:id="1644576839">
                      <w:marLeft w:val="0"/>
                      <w:marRight w:val="0"/>
                      <w:marTop w:val="0"/>
                      <w:marBottom w:val="0"/>
                      <w:divBdr>
                        <w:top w:val="none" w:sz="0" w:space="0" w:color="auto"/>
                        <w:left w:val="none" w:sz="0" w:space="0" w:color="auto"/>
                        <w:bottom w:val="none" w:sz="0" w:space="0" w:color="auto"/>
                        <w:right w:val="none" w:sz="0" w:space="0" w:color="auto"/>
                      </w:divBdr>
                      <w:divsChild>
                        <w:div w:id="17490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13146">
          <w:marLeft w:val="0"/>
          <w:marRight w:val="0"/>
          <w:marTop w:val="0"/>
          <w:marBottom w:val="0"/>
          <w:divBdr>
            <w:top w:val="none" w:sz="0" w:space="0" w:color="auto"/>
            <w:left w:val="none" w:sz="0" w:space="0" w:color="auto"/>
            <w:bottom w:val="none" w:sz="0" w:space="0" w:color="auto"/>
            <w:right w:val="none" w:sz="0" w:space="0" w:color="auto"/>
          </w:divBdr>
          <w:divsChild>
            <w:div w:id="1395859010">
              <w:marLeft w:val="0"/>
              <w:marRight w:val="0"/>
              <w:marTop w:val="240"/>
              <w:marBottom w:val="0"/>
              <w:divBdr>
                <w:top w:val="none" w:sz="0" w:space="0" w:color="auto"/>
                <w:left w:val="none" w:sz="0" w:space="0" w:color="auto"/>
                <w:bottom w:val="none" w:sz="0" w:space="0" w:color="auto"/>
                <w:right w:val="none" w:sz="0" w:space="0" w:color="auto"/>
              </w:divBdr>
              <w:divsChild>
                <w:div w:id="1801267015">
                  <w:marLeft w:val="0"/>
                  <w:marRight w:val="0"/>
                  <w:marTop w:val="0"/>
                  <w:marBottom w:val="0"/>
                  <w:divBdr>
                    <w:top w:val="none" w:sz="0" w:space="0" w:color="auto"/>
                    <w:left w:val="none" w:sz="0" w:space="0" w:color="auto"/>
                    <w:bottom w:val="none" w:sz="0" w:space="0" w:color="auto"/>
                    <w:right w:val="none" w:sz="0" w:space="0" w:color="auto"/>
                  </w:divBdr>
                  <w:divsChild>
                    <w:div w:id="17825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1966" TargetMode="External"/><Relationship Id="rId13" Type="http://schemas.openxmlformats.org/officeDocument/2006/relationships/hyperlink" Target="https://he.wikipedia.org/wiki/%D7%9E%D7%A9%D7%A8%D7%93_%D7%94%D7%AA%D7%97%D7%91%D7%95%D7%A8%D7%94_%D7%95%D7%94%D7%91%D7%98%D7%99%D7%97%D7%95%D7%AA_%D7%91%D7%93%D7%A8%D7%9B%D7%99%D7%9D" TargetMode="External"/><Relationship Id="rId18" Type="http://schemas.openxmlformats.org/officeDocument/2006/relationships/hyperlink" Target="https://he.wikipedia.org/wiki/%D7%A2%D7%96%D7%A8%D7%94:%D7%AA%D7%91%D7%A0%D7%99%D7%AA_%D7%9E%D7%99%D7%93%D7%A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e.wikipedia.org/wiki/9_%D7%91%D7%A4%D7%91%D7%A8%D7%95%D7%90%D7%A8" TargetMode="External"/><Relationship Id="rId12" Type="http://schemas.openxmlformats.org/officeDocument/2006/relationships/hyperlink" Target="https://he.wikipedia.org/wiki/%D7%A1%D7%A4%D7%A8_%D7%94%D7%97%D7%95%D7%A7%D7%99%D7%9D"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wikidata.org/wiki/Q64829584" TargetMode="External"/><Relationship Id="rId20" Type="http://schemas.openxmlformats.org/officeDocument/2006/relationships/hyperlink" Target="https://he.wikipedia.org/wiki/%D7%90%D7%97%D7%A8%D7%99%D7%95%D7%AA_%D7%A7%D7%A4%D7%99%D7%93%D7%9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he.wikipedia.org/wiki/%D7%94%D7%9B%D7%A0%D7%A1%D7%AA_%D7%94%D7%A9%D7%99%D7%A9%D7%99%D7%AA" TargetMode="External"/><Relationship Id="rId5" Type="http://schemas.openxmlformats.org/officeDocument/2006/relationships/hyperlink" Target="https://he.wikipedia.org/wiki/%D7%A1%D7%9E%D7%9C_%D7%9E%D7%93%D7%99%D7%A0%D7%AA_%D7%99%D7%A9%D7%A8%D7%90%D7%9C" TargetMode="External"/><Relationship Id="rId15" Type="http://schemas.openxmlformats.org/officeDocument/2006/relationships/hyperlink" Target="https://he.wikisource.org/wiki/%D7%97%D7%95%D7%A7_%D7%94%D7%93%D7%A8%D7%9B%D7%99%D7%9D_(%D7%A9%D7%99%D7%9C%D7%95%D7%98)" TargetMode="External"/><Relationship Id="rId10" Type="http://schemas.openxmlformats.org/officeDocument/2006/relationships/hyperlink" Target="https://he.wikipedia.org/wiki/%D7%AA%D7%A9%D7%9B%22%D7%95"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e.wikipedia.org/wiki/%D7%99%22%D7%98_%D7%91%D7%A9%D7%91%D7%98" TargetMode="External"/><Relationship Id="rId14" Type="http://schemas.openxmlformats.org/officeDocument/2006/relationships/hyperlink" Target="https://he.wikipedia.org/wiki/%D7%94%D7%9E%D7%A9%D7%A8%D7%93_%D7%9C%D7%94%D7%92%D7%A0%D7%AA_%D7%94%D7%A1%D7%91%D7%99%D7%91%D7%94"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3645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igudrishuyasakim@gmail.com</dc:creator>
  <cp:keywords/>
  <dc:description/>
  <cp:lastModifiedBy>igudrishuyasakim@gmail.com</cp:lastModifiedBy>
  <cp:revision>1</cp:revision>
  <dcterms:created xsi:type="dcterms:W3CDTF">2022-11-30T10:18:00Z</dcterms:created>
  <dcterms:modified xsi:type="dcterms:W3CDTF">2022-11-30T10:21:00Z</dcterms:modified>
</cp:coreProperties>
</file>